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Prevenzione della corruzione e illegalita'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Trasparenza e promozione trasparenza smart 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