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Transizione al digitale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L'art. 17, comma 1, CAD, stabilisce che ciascuna pubblica amministrazione sia tenuta ad affidare ad un unico ufficio dirigenziale, fermo restando il numero complessivo degli uffici, la "transizione alla modalita' operativa digitale e i conseguenti processi di riorganizzazione finalizzati alla realizzazione di un'amministrazione digitale e aperta, di servizi facilmente utilizzabili e di qualita', attraverso una maggiore efficienza ed economicita'" nominando un Responsabile per la Transizione al Digitale (RTD) e Amministrazioni devono individuare, con atto organizzativo interno e nell'ambito della dotazione organica complessiva delle posizioni di funzione dirigenziale, l'ufficio dirigenziale, di livello generale ove previsto nelrelativo ordinamento, cui attribuire i compiti per la transizione digitale declinati dal comma 1 dell'art. 17 CAD. Il responsabile di tale ufficio deve formalmente assumere le funzioni di Responsabile per la transizione al digitale, essere dotato di "adeguate competenze tecnologiche, di informatica giuridica e manageriali.Il comma 1-septies dell'art. 17 CAD. prevede la possibilita' per le amministrazioni diverse dalle amministrazioni dello Stato di esercitare le funzioni di RTD anche in forma associata. Tale opzione organizzativa, raccomandata specialmente per le PA di piccole dimensioni, puo' avvenire in forza di convenzioni o, per i comuni, anche mediante l'unione di comuni.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Gandellini Eleonora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Approvazione/aggiornamento Piano triennale per l'informatica e la transizione al digitale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Transizione al digitale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Digitalizzazione ed erogazione dei servizi on-line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Transizione al digitale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